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3obswc648zrr" w:id="0"/>
      <w:bookmarkEnd w:id="0"/>
      <w:r w:rsidDel="00000000" w:rsidR="00000000" w:rsidRPr="00000000">
        <w:rPr>
          <w:rtl w:val="0"/>
        </w:rPr>
        <w:t xml:space="preserve">New Zealand’s $76 Billion Bet: Why Being a "Smart Follower" is the Secret to AI Success</w:t>
      </w:r>
    </w:p>
    <w:p w:rsidR="00000000" w:rsidDel="00000000" w:rsidP="00000000" w:rsidRDefault="00000000" w:rsidRPr="00000000" w14:paraId="00000002">
      <w:pPr>
        <w:rPr/>
      </w:pPr>
      <w:r w:rsidDel="00000000" w:rsidR="00000000" w:rsidRPr="00000000">
        <w:rPr>
          <w:rtl w:val="0"/>
        </w:rPr>
        <w:t xml:space="preserve">In July 2025, New Zealand finally shed its status as the last OECD country to publish a formal artificial intelligence strategy. To the casual observer, the delay might look like hesitation. To a strategic analyst, however, it looks like a calculated pivot. By waiting until the peak of the initial "GenAI Hype Cycle" passed, New Zealand has effectively bypassed the expensive, experimental failures of early movers. The newly released strategy,  </w:t>
      </w:r>
      <w:r w:rsidDel="00000000" w:rsidR="00000000" w:rsidRPr="00000000">
        <w:rPr>
          <w:b w:val="1"/>
          <w:bCs w:val="1"/>
          <w:rtl w:val="0"/>
        </w:rPr>
        <w:t xml:space="preserve">"Investing with Confidence,"</w:t>
      </w:r>
      <w:r w:rsidDel="00000000" w:rsidR="00000000" w:rsidRPr="00000000">
        <w:rPr>
          <w:rtl w:val="0"/>
        </w:rPr>
        <w:t xml:space="preserve">  signals an entry at the "Plateau of Productivity"—a pragmatic move to capitalize on mature tech rather than subsidizing the R&amp;D of Silicon Valley giants.The question is no longer why they waited, but how this "Smart Follower" approach will turn a late start into a competitive advantage.</w:t>
      </w:r>
    </w:p>
    <w:p w:rsidR="00000000" w:rsidDel="00000000" w:rsidP="00000000" w:rsidRDefault="00000000" w:rsidRPr="00000000" w14:paraId="00000003">
      <w:pPr>
        <w:pStyle w:val="Heading5"/>
        <w:rPr/>
      </w:pPr>
      <w:bookmarkStart w:colFirst="0" w:colLast="0" w:name="_6e1qbcbcq5ab" w:id="1"/>
      <w:bookmarkEnd w:id="1"/>
      <w:r w:rsidDel="00000000" w:rsidR="00000000" w:rsidRPr="00000000">
        <w:rPr>
          <w:rtl w:val="0"/>
        </w:rPr>
        <w:t xml:space="preserve">Takeaway 1: Don’t Build the Engine, Drive the Car</w:t>
      </w:r>
    </w:p>
    <w:p w:rsidR="00000000" w:rsidDel="00000000" w:rsidP="00000000" w:rsidRDefault="00000000" w:rsidRPr="00000000" w14:paraId="00000004">
      <w:pPr>
        <w:rPr/>
      </w:pPr>
      <w:r w:rsidDel="00000000" w:rsidR="00000000" w:rsidRPr="00000000">
        <w:rPr>
          <w:rtl w:val="0"/>
        </w:rPr>
        <w:t xml:space="preserve">The strategy’s defining thesis is a move away from foundational AI development in favor of aggressive  </w:t>
      </w:r>
      <w:r w:rsidDel="00000000" w:rsidR="00000000" w:rsidRPr="00000000">
        <w:rPr>
          <w:b w:val="1"/>
          <w:bCs w:val="1"/>
          <w:rtl w:val="0"/>
        </w:rPr>
        <w:t xml:space="preserve">AI adoption</w:t>
      </w:r>
      <w:r w:rsidDel="00000000" w:rsidR="00000000" w:rsidRPr="00000000">
        <w:rPr>
          <w:rtl w:val="0"/>
        </w:rPr>
        <w:t xml:space="preserve"> . The government has recognized that New Zealand cannot—and should not—compete in the global "Compute Arms Race." Attempting to build a sovereign foundational model is a multi-hundred-million-dollar gamble that New Zealand’s fiscal reality simply doesn't support."New Zealand’s strength lies in being smart adopters, tailoring this powerful technology to solve our unique challenges in agriculture, healthcare, education, and beyond. We will leverage AI to enhance our existing competitive advantages whilst building the capability to create niche solutions that reflect our values and circumstances." —  </w:t>
      </w:r>
      <w:r w:rsidDel="00000000" w:rsidR="00000000" w:rsidRPr="00000000">
        <w:rPr>
          <w:b w:val="1"/>
          <w:bCs w:val="1"/>
          <w:rtl w:val="0"/>
        </w:rPr>
        <w:t xml:space="preserve">Minister Shane Reti</w:t>
      </w:r>
      <w:r w:rsidDel="00000000" w:rsidR="00000000" w:rsidRPr="00000000">
        <w:rPr>
          <w:rtl w:val="0"/>
        </w:rPr>
        <w:t xml:space="preserve">By acting as a "Smart Adopter," New Zealand is building defensible "data moats" in sectors where it holds sovereign advantages. Our unique agritech conditions and a centralized, single-payer health system provide datasets that global tech giants cannot easily replicate. Instead of building the engine, New Zealand is focused on driving the car toward high-value, niche verticals.</w:t>
      </w:r>
    </w:p>
    <w:p w:rsidR="00000000" w:rsidDel="00000000" w:rsidP="00000000" w:rsidRDefault="00000000" w:rsidRPr="00000000" w14:paraId="00000005">
      <w:pPr>
        <w:pStyle w:val="Heading5"/>
        <w:rPr/>
      </w:pPr>
      <w:bookmarkStart w:colFirst="0" w:colLast="0" w:name="_sxeugbiorzbz" w:id="2"/>
      <w:bookmarkEnd w:id="2"/>
      <w:r w:rsidDel="00000000" w:rsidR="00000000" w:rsidRPr="00000000">
        <w:rPr>
          <w:rtl w:val="0"/>
        </w:rPr>
        <w:t xml:space="preserve">Takeaway 2: The $76 Billion Opportunity Hiding in Plain Sight</w:t>
      </w:r>
    </w:p>
    <w:p w:rsidR="00000000" w:rsidDel="00000000" w:rsidP="00000000" w:rsidRDefault="00000000" w:rsidRPr="00000000" w14:paraId="00000006">
      <w:pPr>
        <w:rPr/>
      </w:pPr>
      <w:r w:rsidDel="00000000" w:rsidR="00000000" w:rsidRPr="00000000">
        <w:rPr>
          <w:rtl w:val="0"/>
        </w:rPr>
        <w:t xml:space="preserve">The economic logic for this strategy is underpinned by a staggering number:  </w:t>
      </w:r>
      <w:r w:rsidDel="00000000" w:rsidR="00000000" w:rsidRPr="00000000">
        <w:rPr>
          <w:b w:val="1"/>
          <w:bCs w:val="1"/>
          <w:rtl w:val="0"/>
        </w:rPr>
        <w:t xml:space="preserve">$76 billion</w:t>
      </w:r>
      <w:r w:rsidDel="00000000" w:rsidR="00000000" w:rsidRPr="00000000">
        <w:rPr>
          <w:rtl w:val="0"/>
        </w:rPr>
        <w:t xml:space="preserve"> . Research from Microsoft (2024) indicates that the widespread adoption of generative AI could boost New Zealand's GDP by over 15% by 2038.For a small, geographically isolated economy, these gains are not optional; they are a survival requirement for maintaining global relevance. The strategy clarifies that AI is not merely an automation tool to "do more with less." It is an adaptive resource for strategy and insight, enabling faster decision-making and the optimization of complex systems—from hospital waitlists to carbon-efficient supply chains.</w:t>
      </w:r>
    </w:p>
    <w:p w:rsidR="00000000" w:rsidDel="00000000" w:rsidP="00000000" w:rsidRDefault="00000000" w:rsidRPr="00000000" w14:paraId="00000007">
      <w:pPr>
        <w:pStyle w:val="Heading5"/>
        <w:rPr/>
      </w:pPr>
      <w:bookmarkStart w:colFirst="0" w:colLast="0" w:name="_zh1mlthsr4x9" w:id="3"/>
      <w:bookmarkEnd w:id="3"/>
      <w:r w:rsidDel="00000000" w:rsidR="00000000" w:rsidRPr="00000000">
        <w:rPr>
          <w:rtl w:val="0"/>
        </w:rPr>
        <w:t xml:space="preserve">Takeaway 3: The SME "Adoption Gap" is a National Risk</w:t>
      </w:r>
    </w:p>
    <w:p w:rsidR="00000000" w:rsidDel="00000000" w:rsidP="00000000" w:rsidRDefault="00000000" w:rsidRPr="00000000" w14:paraId="00000008">
      <w:pPr>
        <w:rPr/>
      </w:pPr>
      <w:r w:rsidDel="00000000" w:rsidR="00000000" w:rsidRPr="00000000">
        <w:rPr>
          <w:rtl w:val="0"/>
        </w:rPr>
        <w:t xml:space="preserve">Despite the high-level enthusiasm, a structural threat is emerging: New Zealand's economic backbone—its Small-to-Medium Enterprises (SMEs)—is sleepwalking into a productivity crisis. While 67% of large firms have integrated AI, a 2024 NZIER and Spark survey found that  </w:t>
      </w:r>
      <w:r w:rsidDel="00000000" w:rsidR="00000000" w:rsidRPr="00000000">
        <w:rPr>
          <w:b w:val="1"/>
          <w:bCs w:val="1"/>
          <w:rtl w:val="0"/>
        </w:rPr>
        <w:t xml:space="preserve">68% of New Zealand SMEs have no plans</w:t>
      </w:r>
      <w:r w:rsidDel="00000000" w:rsidR="00000000" w:rsidRPr="00000000">
        <w:rPr>
          <w:rtl w:val="0"/>
        </w:rPr>
        <w:t xml:space="preserve">  to even evaluate the technology.This disparity is a glaring national risk, especially when compared to Australia, where only 38% of SMEs are holding back. If New Zealand’s smaller exporters continue to hesitate while global competitors automate, the "adoption gap" will quickly transform into a permanent loss of market share. The government’s targeting of this group isn't just about business support; it’s a desperate attempt to shore up the nation's export economy.</w:t>
      </w:r>
    </w:p>
    <w:p w:rsidR="00000000" w:rsidDel="00000000" w:rsidP="00000000" w:rsidRDefault="00000000" w:rsidRPr="00000000" w14:paraId="00000009">
      <w:pPr>
        <w:pStyle w:val="Heading5"/>
        <w:rPr/>
      </w:pPr>
      <w:bookmarkStart w:colFirst="0" w:colLast="0" w:name="_ybh6y0l86anr" w:id="4"/>
      <w:bookmarkEnd w:id="4"/>
      <w:r w:rsidDel="00000000" w:rsidR="00000000" w:rsidRPr="00000000">
        <w:rPr>
          <w:rtl w:val="0"/>
        </w:rPr>
        <w:t xml:space="preserve">Takeaway 4: Protecting the "Digital Taonga"</w:t>
      </w:r>
    </w:p>
    <w:p w:rsidR="00000000" w:rsidDel="00000000" w:rsidP="00000000" w:rsidRDefault="00000000" w:rsidRPr="00000000" w14:paraId="0000000A">
      <w:pPr>
        <w:rPr/>
      </w:pPr>
      <w:r w:rsidDel="00000000" w:rsidR="00000000" w:rsidRPr="00000000">
        <w:rPr>
          <w:rtl w:val="0"/>
        </w:rPr>
        <w:t xml:space="preserve">New Zealand is unique in its integration of Indigenous data sovereignty into national technology policy. AI is viewed as both a  </w:t>
      </w:r>
      <w:r w:rsidDel="00000000" w:rsidR="00000000" w:rsidRPr="00000000">
        <w:rPr>
          <w:i w:val="1"/>
          <w:iCs w:val="1"/>
          <w:rtl w:val="0"/>
        </w:rPr>
        <w:t xml:space="preserve">taonga</w:t>
      </w:r>
      <w:r w:rsidDel="00000000" w:rsidR="00000000" w:rsidRPr="00000000">
        <w:rPr>
          <w:rtl w:val="0"/>
        </w:rPr>
        <w:t xml:space="preserve">  (treasure) for language preservation and a target for misappropriation.</w:t>
      </w:r>
    </w:p>
    <w:p w:rsidR="00000000" w:rsidDel="00000000" w:rsidP="00000000" w:rsidRDefault="00000000" w:rsidRPr="00000000" w14:paraId="0000000B">
      <w:pPr>
        <w:numPr>
          <w:ilvl w:val="0"/>
          <w:numId w:val="2"/>
        </w:numPr>
        <w:spacing w:after="0" w:afterAutospacing="0"/>
        <w:ind w:left="720" w:hanging="360"/>
        <w:rPr>
          <w:u w:val="none"/>
        </w:rPr>
      </w:pPr>
      <w:r w:rsidDel="00000000" w:rsidR="00000000" w:rsidRPr="00000000">
        <w:rPr>
          <w:b w:val="1"/>
          <w:bCs w:val="1"/>
          <w:rtl w:val="0"/>
        </w:rPr>
        <w:t xml:space="preserve">Te Hiku Media:</w:t>
      </w:r>
      <w:r w:rsidDel="00000000" w:rsidR="00000000" w:rsidRPr="00000000">
        <w:rPr>
          <w:rtl w:val="0"/>
        </w:rPr>
        <w:t xml:space="preserve">  Their speech recognition model transcribes te reo Māori with 92% accuracy, setting a global gold standard for indigenous-led tech.</w:t>
      </w:r>
    </w:p>
    <w:p w:rsidR="00000000" w:rsidDel="00000000" w:rsidP="00000000" w:rsidRDefault="00000000" w:rsidRPr="00000000" w14:paraId="0000000C">
      <w:pPr>
        <w:numPr>
          <w:ilvl w:val="0"/>
          <w:numId w:val="2"/>
        </w:numPr>
        <w:ind w:left="720" w:hanging="360"/>
        <w:rPr>
          <w:u w:val="none"/>
        </w:rPr>
      </w:pPr>
      <w:r w:rsidDel="00000000" w:rsidR="00000000" w:rsidRPr="00000000">
        <w:rPr>
          <w:b w:val="1"/>
          <w:bCs w:val="1"/>
          <w:rtl w:val="0"/>
        </w:rPr>
        <w:t xml:space="preserve">KIWA Digital:</w:t>
      </w:r>
      <w:r w:rsidDel="00000000" w:rsidR="00000000" w:rsidRPr="00000000">
        <w:rPr>
          <w:rtl w:val="0"/>
        </w:rPr>
        <w:t xml:space="preserve">  Their "CultureQ" application allows groups to revitalize language at scale while maintaining the Māori value of  </w:t>
      </w:r>
      <w:r w:rsidDel="00000000" w:rsidR="00000000" w:rsidRPr="00000000">
        <w:rPr>
          <w:i w:val="1"/>
          <w:iCs w:val="1"/>
          <w:rtl w:val="0"/>
        </w:rPr>
        <w:t xml:space="preserve">kaitiakitanga</w:t>
      </w:r>
      <w:r w:rsidDel="00000000" w:rsidR="00000000" w:rsidRPr="00000000">
        <w:rPr>
          <w:rtl w:val="0"/>
        </w:rPr>
        <w:t xml:space="preserve">  (guardianship).However, the strategy adds a sharp journalistic edge to the cultural conversation: the risk of "data scraping." By ensuring that Māori cultural IP is not used to train global models without consent, New Zealand is positioning ethical AI leadership as a component of national prosperity rather than just a social duty.</w:t>
      </w:r>
    </w:p>
    <w:p w:rsidR="00000000" w:rsidDel="00000000" w:rsidP="00000000" w:rsidRDefault="00000000" w:rsidRPr="00000000" w14:paraId="0000000D">
      <w:pPr>
        <w:pStyle w:val="Heading5"/>
        <w:rPr/>
      </w:pPr>
      <w:bookmarkStart w:colFirst="0" w:colLast="0" w:name="_t6x6xtyupezs" w:id="5"/>
      <w:bookmarkEnd w:id="5"/>
      <w:r w:rsidDel="00000000" w:rsidR="00000000" w:rsidRPr="00000000">
        <w:rPr>
          <w:rtl w:val="0"/>
        </w:rPr>
        <w:t xml:space="preserve">Takeaway 5: The Strategy was Written by the Strategy</w:t>
      </w:r>
    </w:p>
    <w:p w:rsidR="00000000" w:rsidDel="00000000" w:rsidP="00000000" w:rsidRDefault="00000000" w:rsidRPr="00000000" w14:paraId="0000000E">
      <w:pPr>
        <w:rPr/>
      </w:pPr>
      <w:r w:rsidDel="00000000" w:rsidR="00000000" w:rsidRPr="00000000">
        <w:rPr>
          <w:rtl w:val="0"/>
        </w:rPr>
        <w:t xml:space="preserve">In a rare move of transparency and efficiency, the Ministry of Business, Innovation and Employment (MBIE) "walked the talk" by using generative AI to help draft the strategy itself. This served as a vital proof of concept, demonstrating that the public service can use AI to reduce the cost of governance while maintaining human oversight.To balance this with safety, MBIE highlighted its status as a signatory to the  </w:t>
      </w:r>
      <w:r w:rsidDel="00000000" w:rsidR="00000000" w:rsidRPr="00000000">
        <w:rPr>
          <w:b w:val="1"/>
          <w:bCs w:val="1"/>
          <w:rtl w:val="0"/>
        </w:rPr>
        <w:t xml:space="preserve">Algorithm Charter for Aotearoa</w:t>
      </w:r>
      <w:r w:rsidDel="00000000" w:rsidR="00000000" w:rsidRPr="00000000">
        <w:rPr>
          <w:rtl w:val="0"/>
        </w:rPr>
        <w:t xml:space="preserve"> , a commitment to the fair, ethical, and transparent use of data. By integrating AI into its own workflow for literature reviews and content ideation, the government is attempting to strip away the "dystopian" stigma and show that AI, when used responsibly under the new  </w:t>
      </w:r>
      <w:r w:rsidDel="00000000" w:rsidR="00000000" w:rsidRPr="00000000">
        <w:rPr>
          <w:b w:val="1"/>
          <w:bCs w:val="1"/>
          <w:rtl w:val="0"/>
        </w:rPr>
        <w:t xml:space="preserve">Responsible AI Guidance</w:t>
      </w:r>
      <w:r w:rsidDel="00000000" w:rsidR="00000000" w:rsidRPr="00000000">
        <w:rPr>
          <w:rtl w:val="0"/>
        </w:rPr>
        <w:t xml:space="preserve"> , is a tool for better public service, not a replacement for it.</w:t>
      </w:r>
    </w:p>
    <w:p w:rsidR="00000000" w:rsidDel="00000000" w:rsidP="00000000" w:rsidRDefault="00000000" w:rsidRPr="00000000" w14:paraId="0000000F">
      <w:pPr>
        <w:pStyle w:val="Heading5"/>
        <w:rPr/>
      </w:pPr>
      <w:bookmarkStart w:colFirst="0" w:colLast="0" w:name="_y4cb9wrpxf8l" w:id="6"/>
      <w:bookmarkEnd w:id="6"/>
      <w:r w:rsidDel="00000000" w:rsidR="00000000" w:rsidRPr="00000000">
        <w:rPr>
          <w:rtl w:val="0"/>
        </w:rPr>
        <w:t xml:space="preserve">Takeaway 6: From Cryogenics to Whale Watching—The Niche Success Stories</w:t>
      </w:r>
    </w:p>
    <w:p w:rsidR="00000000" w:rsidDel="00000000" w:rsidP="00000000" w:rsidRDefault="00000000" w:rsidRPr="00000000" w14:paraId="00000010">
      <w:pPr>
        <w:rPr/>
      </w:pPr>
      <w:r w:rsidDel="00000000" w:rsidR="00000000" w:rsidRPr="00000000">
        <w:rPr>
          <w:rtl w:val="0"/>
        </w:rPr>
        <w:t xml:space="preserve">The "Smart Adopter" strategy is already operational in several high-tech pockets where New Zealand firms are carving out global leadership:</w:t>
      </w:r>
    </w:p>
    <w:p w:rsidR="00000000" w:rsidDel="00000000" w:rsidP="00000000" w:rsidRDefault="00000000" w:rsidRPr="00000000" w14:paraId="00000011">
      <w:pPr>
        <w:numPr>
          <w:ilvl w:val="0"/>
          <w:numId w:val="1"/>
        </w:numPr>
        <w:spacing w:after="0" w:afterAutospacing="0"/>
        <w:ind w:left="720" w:hanging="360"/>
        <w:rPr>
          <w:u w:val="none"/>
        </w:rPr>
      </w:pPr>
      <w:r w:rsidDel="00000000" w:rsidR="00000000" w:rsidRPr="00000000">
        <w:rPr>
          <w:b w:val="1"/>
          <w:bCs w:val="1"/>
          <w:rtl w:val="0"/>
        </w:rPr>
        <w:t xml:space="preserve">Robinson Research Institute:</w:t>
      </w:r>
      <w:r w:rsidDel="00000000" w:rsidR="00000000" w:rsidRPr="00000000">
        <w:rPr>
          <w:rtl w:val="0"/>
        </w:rPr>
        <w:t xml:space="preserve">  Backed by a $71m science platform investment, they are driving high-tech exports in  </w:t>
      </w:r>
      <w:r w:rsidDel="00000000" w:rsidR="00000000" w:rsidRPr="00000000">
        <w:rPr>
          <w:b w:val="1"/>
          <w:bCs w:val="1"/>
          <w:rtl w:val="0"/>
        </w:rPr>
        <w:t xml:space="preserve">cryogenics</w:t>
      </w:r>
      <w:r w:rsidDel="00000000" w:rsidR="00000000" w:rsidRPr="00000000">
        <w:rPr>
          <w:rtl w:val="0"/>
        </w:rPr>
        <w:t xml:space="preserve"> , superconductors, and magnets.</w:t>
      </w:r>
    </w:p>
    <w:p w:rsidR="00000000" w:rsidDel="00000000" w:rsidP="00000000" w:rsidRDefault="00000000" w:rsidRPr="00000000" w14:paraId="00000012">
      <w:pPr>
        <w:numPr>
          <w:ilvl w:val="0"/>
          <w:numId w:val="1"/>
        </w:numPr>
        <w:spacing w:after="0" w:afterAutospacing="0"/>
        <w:ind w:left="720" w:hanging="360"/>
        <w:rPr>
          <w:u w:val="none"/>
        </w:rPr>
      </w:pPr>
      <w:r w:rsidDel="00000000" w:rsidR="00000000" w:rsidRPr="00000000">
        <w:rPr>
          <w:b w:val="1"/>
          <w:bCs w:val="1"/>
          <w:rtl w:val="0"/>
        </w:rPr>
        <w:t xml:space="preserve">Halter:</w:t>
      </w:r>
      <w:r w:rsidDel="00000000" w:rsidR="00000000" w:rsidRPr="00000000">
        <w:rPr>
          <w:rtl w:val="0"/>
        </w:rPr>
        <w:t xml:space="preserve">  An agritech "unicorn" ($1bn USD valuation) that uses AI and wearables to revolutionize livestock management.</w:t>
      </w:r>
    </w:p>
    <w:p w:rsidR="00000000" w:rsidDel="00000000" w:rsidP="00000000" w:rsidRDefault="00000000" w:rsidRPr="00000000" w14:paraId="00000013">
      <w:pPr>
        <w:numPr>
          <w:ilvl w:val="0"/>
          <w:numId w:val="1"/>
        </w:numPr>
        <w:spacing w:after="0" w:afterAutospacing="0"/>
        <w:ind w:left="720" w:hanging="360"/>
        <w:rPr>
          <w:u w:val="none"/>
        </w:rPr>
      </w:pPr>
      <w:r w:rsidDel="00000000" w:rsidR="00000000" w:rsidRPr="00000000">
        <w:rPr>
          <w:b w:val="1"/>
          <w:bCs w:val="1"/>
          <w:rtl w:val="0"/>
        </w:rPr>
        <w:t xml:space="preserve">NIWA:</w:t>
      </w:r>
      <w:r w:rsidDel="00000000" w:rsidR="00000000" w:rsidRPr="00000000">
        <w:rPr>
          <w:rtl w:val="0"/>
        </w:rPr>
        <w:t xml:space="preserve">  Employs AI to combine historical sighting data with weather forecasting to provide predictive sailing routes for whale-watching operators.</w:t>
      </w:r>
    </w:p>
    <w:p w:rsidR="00000000" w:rsidDel="00000000" w:rsidP="00000000" w:rsidRDefault="00000000" w:rsidRPr="00000000" w14:paraId="00000014">
      <w:pPr>
        <w:numPr>
          <w:ilvl w:val="0"/>
          <w:numId w:val="1"/>
        </w:numPr>
        <w:spacing w:after="0" w:afterAutospacing="0"/>
        <w:ind w:left="720" w:hanging="360"/>
        <w:rPr>
          <w:u w:val="none"/>
        </w:rPr>
      </w:pPr>
      <w:r w:rsidDel="00000000" w:rsidR="00000000" w:rsidRPr="00000000">
        <w:rPr>
          <w:b w:val="1"/>
          <w:bCs w:val="1"/>
          <w:rtl w:val="0"/>
        </w:rPr>
        <w:t xml:space="preserve">Formus Labs:</w:t>
      </w:r>
      <w:r w:rsidDel="00000000" w:rsidR="00000000" w:rsidRPr="00000000">
        <w:rPr>
          <w:rtl w:val="0"/>
        </w:rPr>
        <w:t xml:space="preserve">  Developed the world’s first AI-automated 3D planner for joint replacement surgeries, slashing pre-operative planning times for surgeons.</w:t>
      </w:r>
    </w:p>
    <w:p w:rsidR="00000000" w:rsidDel="00000000" w:rsidP="00000000" w:rsidRDefault="00000000" w:rsidRPr="00000000" w14:paraId="00000015">
      <w:pPr>
        <w:numPr>
          <w:ilvl w:val="0"/>
          <w:numId w:val="1"/>
        </w:numPr>
        <w:spacing w:after="0" w:afterAutospacing="0"/>
        <w:ind w:left="720" w:hanging="360"/>
        <w:rPr>
          <w:u w:val="none"/>
        </w:rPr>
      </w:pPr>
      <w:r w:rsidDel="00000000" w:rsidR="00000000" w:rsidRPr="00000000">
        <w:rPr>
          <w:b w:val="1"/>
          <w:bCs w:val="1"/>
          <w:rtl w:val="0"/>
        </w:rPr>
        <w:t xml:space="preserve">Toku:</w:t>
      </w:r>
      <w:r w:rsidDel="00000000" w:rsidR="00000000" w:rsidRPr="00000000">
        <w:rPr>
          <w:rtl w:val="0"/>
        </w:rPr>
        <w:t xml:space="preserve">  Uses AI to identify cardiovascular and kidney diseases through simple eye scans.</w:t>
      </w:r>
    </w:p>
    <w:p w:rsidR="00000000" w:rsidDel="00000000" w:rsidP="00000000" w:rsidRDefault="00000000" w:rsidRPr="00000000" w14:paraId="00000016">
      <w:pPr>
        <w:numPr>
          <w:ilvl w:val="0"/>
          <w:numId w:val="1"/>
        </w:numPr>
        <w:ind w:left="720" w:hanging="360"/>
        <w:rPr>
          <w:u w:val="none"/>
        </w:rPr>
      </w:pPr>
      <w:r w:rsidDel="00000000" w:rsidR="00000000" w:rsidRPr="00000000">
        <w:rPr>
          <w:b w:val="1"/>
          <w:bCs w:val="1"/>
          <w:rtl w:val="0"/>
        </w:rPr>
        <w:t xml:space="preserve">Aimer Farming:</w:t>
      </w:r>
      <w:r w:rsidDel="00000000" w:rsidR="00000000" w:rsidRPr="00000000">
        <w:rPr>
          <w:rtl w:val="0"/>
        </w:rPr>
        <w:t xml:space="preserve">  Saves farmers hours of labor by using smartphone video to estimate pasture mass via AI.These entities represent the blueprint: take foundational AI, apply it to a specialized data set, and create a world-leading export.</w:t>
      </w:r>
    </w:p>
    <w:p w:rsidR="00000000" w:rsidDel="00000000" w:rsidP="00000000" w:rsidRDefault="00000000" w:rsidRPr="00000000" w14:paraId="00000017">
      <w:pPr>
        <w:pStyle w:val="Heading5"/>
        <w:rPr/>
      </w:pPr>
      <w:bookmarkStart w:colFirst="0" w:colLast="0" w:name="_fc6j8mc59ezs" w:id="7"/>
      <w:bookmarkEnd w:id="7"/>
      <w:r w:rsidDel="00000000" w:rsidR="00000000" w:rsidRPr="00000000">
        <w:rPr>
          <w:rtl w:val="0"/>
        </w:rPr>
        <w:t xml:space="preserve">Conclusion: A Pivot Toward Confidence</w:t>
      </w:r>
    </w:p>
    <w:p w:rsidR="00000000" w:rsidDel="00000000" w:rsidP="00000000" w:rsidRDefault="00000000" w:rsidRPr="00000000" w14:paraId="00000018">
      <w:pPr>
        <w:rPr>
          <w:b w:val="1"/>
          <w:bCs w:val="1"/>
        </w:rPr>
      </w:pPr>
      <w:r w:rsidDel="00000000" w:rsidR="00000000" w:rsidRPr="00000000">
        <w:rPr>
          <w:rtl w:val="0"/>
        </w:rPr>
        <w:t xml:space="preserve">New Zealand’s "Going for Growth" approach marks a definitive shift from passive observation to active enabling. The government’s role is now clear: it is moving to "get out of the way" by providing light-touch, principles-based regulation that removes hurdles like regulatory uncertainty and the skills gap.The guardrails are now set, the $76 billion potential is quantified, and the "Smart Follower" path is paved. For New Zealand business owners, the strategy poses a final, uncomfortable question:</w:t>
      </w:r>
      <w:r w:rsidDel="00000000" w:rsidR="00000000" w:rsidRPr="00000000">
        <w:rPr>
          <w:b w:val="1"/>
          <w:bCs w:val="1"/>
          <w:rtl w:val="0"/>
        </w:rPr>
        <w:t xml:space="preserve">"If the rules of the game are now clear and the potential is $76 billion, what is the cost of your continued hesitation?"</w:t>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